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Prrafodelista"/>
        <w:spacing w:lineRule="auto" w:line="240" w:before="0" w:after="0"/>
        <w:ind w:start="0" w:end="0"/>
        <w:contextualSpacing/>
        <w:jc w:val="center"/>
        <w:rPr>
          <w:lang w:val="en-US" w:eastAsia="es-ES"/>
        </w:rPr>
      </w:pPr>
      <w:r>
        <w:rPr>
          <w:lang w:val="en-US" w:eastAsia="es-ES"/>
        </w:rPr>
        <w:drawing>
          <wp:anchor behindDoc="0" distT="0" distB="0" distL="114935" distR="114935" simplePos="0" locked="0" layoutInCell="0" allowOverlap="1" relativeHeight="4">
            <wp:simplePos x="0" y="0"/>
            <wp:positionH relativeFrom="column">
              <wp:posOffset>1737360</wp:posOffset>
            </wp:positionH>
            <wp:positionV relativeFrom="paragraph">
              <wp:posOffset>-172720</wp:posOffset>
            </wp:positionV>
            <wp:extent cx="1765300" cy="1199515"/>
            <wp:effectExtent l="0" t="0" r="0" b="0"/>
            <wp:wrapSquare wrapText="bothSides"/>
            <wp:docPr id="1" name="Imagen 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 title=""/>
                    <pic:cNvPicPr>
                      <a:picLocks noChangeAspect="1" noChangeArrowheads="1"/>
                    </pic:cNvPicPr>
                  </pic:nvPicPr>
                  <pic:blipFill>
                    <a:blip r:embed="rId2"/>
                    <a:srcRect l="-3" t="20357" r="6782" b="16285"/>
                    <a:stretch>
                      <a:fillRect/>
                    </a:stretch>
                  </pic:blipFill>
                  <pic:spPr bwMode="auto">
                    <a:xfrm>
                      <a:off x="0" y="0"/>
                      <a:ext cx="1765300" cy="1199515"/>
                    </a:xfrm>
                    <a:prstGeom prst="rect">
                      <a:avLst/>
                    </a:prstGeom>
                  </pic:spPr>
                </pic:pic>
              </a:graphicData>
            </a:graphic>
          </wp:anchor>
        </w:drawing>
      </w:r>
      <w:bookmarkStart w:id="0" w:name="_Hlk9589086"/>
      <w:bookmarkStart w:id="1" w:name="_Hlk9589086"/>
      <w:bookmarkEnd w:id="1"/>
    </w:p>
    <w:p>
      <w:pPr>
        <w:pStyle w:val="Prrafodelista"/>
        <w:spacing w:lineRule="auto" w:line="240" w:before="0" w:after="0"/>
        <w:ind w:start="0" w:end="0"/>
        <w:contextualSpacing/>
        <w:jc w:val="center"/>
        <w:rPr>
          <w:rFonts w:cs="Calibri"/>
          <w:b/>
          <w:bCs/>
          <w:spacing w:val="6"/>
          <w:shd w:fill="FFFFFF" w:val="clear"/>
          <w:lang w:val="en-US" w:eastAsia="es-ES"/>
        </w:rPr>
      </w:pPr>
      <w:r>
        <w:rPr>
          <w:rFonts w:cs="Calibri"/>
          <w:b/>
          <w:bCs/>
          <w:spacing w:val="6"/>
          <w:shd w:fill="FFFFFF" w:val="clear"/>
          <w:lang w:val="en-US" w:eastAsia="es-ES"/>
        </w:rPr>
      </w:r>
      <w:bookmarkStart w:id="2" w:name="_Hlk41990111"/>
      <w:bookmarkStart w:id="3" w:name="_Hlk41990111"/>
      <w:bookmarkEnd w:id="3"/>
    </w:p>
    <w:p>
      <w:pPr>
        <w:pStyle w:val="Prrafodelista"/>
        <w:spacing w:lineRule="auto" w:line="240" w:before="0" w:after="0"/>
        <w:ind w:start="0" w:end="0"/>
        <w:contextualSpacing/>
        <w:jc w:val="center"/>
        <w:rPr>
          <w:rFonts w:cs="Calibri"/>
          <w:b/>
          <w:bCs/>
          <w:color w:val="FF0000"/>
          <w:spacing w:val="6"/>
          <w:sz w:val="32"/>
          <w:szCs w:val="32"/>
          <w:shd w:fill="FFFFFF" w:val="clear"/>
        </w:rPr>
      </w:pPr>
      <w:r>
        <w:rPr>
          <w:rFonts w:cs="Calibri"/>
          <w:b/>
          <w:bCs/>
          <w:color w:val="FF0000"/>
          <w:spacing w:val="6"/>
          <w:sz w:val="32"/>
          <w:szCs w:val="32"/>
          <w:shd w:fill="FFFFFF" w:val="clear"/>
        </w:rPr>
      </w:r>
    </w:p>
    <w:p>
      <w:pPr>
        <w:pStyle w:val="Prrafodelista"/>
        <w:spacing w:lineRule="auto" w:line="240" w:before="0" w:after="0"/>
        <w:ind w:start="0" w:end="0"/>
        <w:contextualSpacing/>
        <w:jc w:val="center"/>
        <w:rPr>
          <w:rFonts w:cs="Calibri"/>
          <w:b/>
          <w:color w:val="FF0000"/>
          <w:sz w:val="32"/>
          <w:szCs w:val="32"/>
        </w:rPr>
      </w:pPr>
      <w:r>
        <w:rPr>
          <w:rFonts w:cs="Calibri"/>
          <w:b/>
          <w:color w:val="FF0000"/>
          <w:sz w:val="32"/>
          <w:szCs w:val="32"/>
        </w:rPr>
      </w:r>
    </w:p>
    <w:p>
      <w:pPr>
        <w:pStyle w:val="NormalWeb"/>
        <w:shd w:fill="FFFFFF" w:val="clear"/>
        <w:spacing w:before="240" w:after="0"/>
        <w:jc w:val="both"/>
        <w:rPr>
          <w:rFonts w:ascii="Calibri" w:hAnsi="Calibri" w:eastAsia="Calibri" w:cs="Calibri"/>
          <w:b/>
          <w:bCs/>
          <w:color w:val="FF0000"/>
          <w:sz w:val="28"/>
          <w:szCs w:val="28"/>
          <w:lang w:eastAsia="en-US"/>
        </w:rPr>
      </w:pPr>
      <w:r>
        <w:rPr>
          <w:rFonts w:eastAsia="Calibri" w:cs="Calibri" w:ascii="Calibri" w:hAnsi="Calibri"/>
          <w:b/>
          <w:bCs/>
          <w:color w:val="FF0000"/>
          <w:sz w:val="28"/>
          <w:szCs w:val="28"/>
          <w:lang w:eastAsia="en-US"/>
        </w:rPr>
      </w:r>
      <w:bookmarkStart w:id="4" w:name="_Hlk9589086"/>
      <w:bookmarkStart w:id="5" w:name="_Hlk41990111"/>
      <w:bookmarkStart w:id="6" w:name="_Hlk9589086"/>
      <w:bookmarkStart w:id="7" w:name="_Hlk41990111"/>
      <w:bookmarkEnd w:id="6"/>
      <w:bookmarkEnd w:id="7"/>
    </w:p>
    <w:p>
      <w:pPr>
        <w:pStyle w:val="NormalWeb"/>
        <w:shd w:fill="FFFFFF" w:val="clear"/>
        <w:spacing w:before="240" w:after="0"/>
        <w:jc w:val="center"/>
        <w:rPr>
          <w:rFonts w:ascii="Calibri" w:hAnsi="Calibri" w:eastAsia="Calibri" w:cs="Calibri"/>
          <w:b/>
          <w:color w:val="C00000"/>
          <w:sz w:val="30"/>
          <w:szCs w:val="30"/>
          <w:lang w:eastAsia="en-US"/>
        </w:rPr>
      </w:pPr>
      <w:r>
        <w:rPr>
          <w:rFonts w:eastAsia="Calibri" w:cs="Calibri" w:ascii="Calibri" w:hAnsi="Calibri"/>
          <w:b/>
          <w:bCs/>
          <w:color w:val="C00000"/>
          <w:sz w:val="30"/>
          <w:szCs w:val="30"/>
          <w:lang w:eastAsia="en-US"/>
        </w:rPr>
        <w:t>CAMPOFRÍO SMART SOLUTIONS SE UNE A LOS PREMIOS QUE  RECONOCEN  A LOS MEJORES PROFESIONALES DE LA HOSTELERÍA</w:t>
      </w:r>
    </w:p>
    <w:p>
      <w:pPr>
        <w:pStyle w:val="NormalWeb"/>
        <w:shd w:fill="FFFFFF" w:val="clear"/>
        <w:spacing w:before="240" w:after="0"/>
        <w:jc w:val="center"/>
        <w:rPr>
          <w:rFonts w:ascii="Calibri" w:hAnsi="Calibri" w:eastAsia="Calibri" w:cs="Calibri"/>
          <w:b/>
          <w:sz w:val="22"/>
          <w:szCs w:val="22"/>
          <w:lang w:eastAsia="en-US"/>
        </w:rPr>
      </w:pPr>
      <w:r>
        <w:rPr>
          <w:rFonts w:eastAsia="Calibri" w:cs="Calibri" w:ascii="Calibri" w:hAnsi="Calibri"/>
          <w:b/>
          <w:sz w:val="22"/>
          <w:szCs w:val="22"/>
          <w:lang w:eastAsia="en-US"/>
        </w:rPr>
        <w:t>La división de hostelería de Campofrío se convierte en uno de los patrocinadores de los concursos de referencia para los profesionales de la restauración: Cocinero del Año y Camarero del Año</w:t>
      </w:r>
    </w:p>
    <w:p>
      <w:pPr>
        <w:pStyle w:val="NormalWeb"/>
        <w:shd w:fill="FFFFFF" w:val="clear"/>
        <w:spacing w:before="240" w:after="0"/>
        <w:jc w:val="both"/>
        <w:rPr>
          <w:rFonts w:ascii="Calibri" w:hAnsi="Calibri" w:cs="Calibri"/>
          <w:bCs/>
          <w:iCs/>
        </w:rPr>
      </w:pPr>
      <w:r>
        <w:rPr>
          <w:rFonts w:cs="Calibri" w:ascii="Calibri" w:hAnsi="Calibri"/>
          <w:b/>
          <w:iCs/>
        </w:rPr>
        <w:t>Madrid, 0</w:t>
      </w:r>
      <w:r>
        <w:rPr>
          <w:rFonts w:cs="Calibri" w:ascii="Calibri" w:hAnsi="Calibri"/>
          <w:b/>
          <w:iCs/>
          <w:lang w:val="es-ES"/>
        </w:rPr>
        <w:t>7</w:t>
      </w:r>
      <w:r>
        <w:rPr>
          <w:rFonts w:cs="Calibri" w:ascii="Calibri" w:hAnsi="Calibri"/>
          <w:b/>
          <w:iCs/>
        </w:rPr>
        <w:t xml:space="preserve"> de octubre de 2026</w:t>
      </w:r>
      <w:r>
        <w:rPr>
          <w:rFonts w:cs="Calibri" w:ascii="Calibri" w:hAnsi="Calibri"/>
          <w:bCs/>
          <w:iCs/>
        </w:rPr>
        <w:t xml:space="preserve">.- Campofrío Smart Solutions, la división de hostelería de Campofrío, se ha incorporado como uno de los patrocinadores de los concursos </w:t>
      </w:r>
      <w:r>
        <w:rPr>
          <w:rFonts w:cs="Calibri" w:ascii="Calibri" w:hAnsi="Calibri"/>
          <w:bCs/>
          <w:i/>
          <w:iCs/>
        </w:rPr>
        <w:t>Cocinero del Año</w:t>
      </w:r>
      <w:r>
        <w:rPr>
          <w:rFonts w:cs="Calibri" w:ascii="Calibri" w:hAnsi="Calibri"/>
          <w:bCs/>
          <w:iCs/>
        </w:rPr>
        <w:t xml:space="preserve"> y </w:t>
      </w:r>
      <w:r>
        <w:rPr>
          <w:rFonts w:cs="Calibri" w:ascii="Calibri" w:hAnsi="Calibri"/>
          <w:bCs/>
          <w:i/>
          <w:iCs/>
        </w:rPr>
        <w:t>Camarero del Año</w:t>
      </w:r>
      <w:r>
        <w:rPr>
          <w:rFonts w:cs="Calibri" w:ascii="Calibri" w:hAnsi="Calibri"/>
          <w:bCs/>
          <w:iCs/>
        </w:rPr>
        <w:t xml:space="preserve"> tras el acuerdo alcanzado con el Grupo Caterdata, organizador de ambos eventos, cuyo objetivo es poner en valor la excelencia de los profesionales de cocina y sala.</w:t>
      </w:r>
    </w:p>
    <w:p>
      <w:pPr>
        <w:pStyle w:val="NormalWeb"/>
        <w:shd w:fill="FFFFFF" w:val="clear"/>
        <w:spacing w:before="240" w:after="0"/>
        <w:jc w:val="both"/>
        <w:rPr>
          <w:rFonts w:ascii="Calibri" w:hAnsi="Calibri" w:cs="Calibri"/>
          <w:bCs/>
          <w:iCs/>
        </w:rPr>
      </w:pPr>
      <w:r>
        <w:rPr>
          <w:rFonts w:cs="Calibri" w:ascii="Calibri" w:hAnsi="Calibri"/>
          <w:bCs/>
          <w:iCs/>
        </w:rPr>
        <w:t>Con más de dos décadas de trayectoria, estos eventos se han consolidado como un punto de encuentro para profesionales de la restauración y como una plataforma de reconocimiento al talento gastronómico. A lo largo de sus diferentes ediciones, han contribuido a dar visibilidad a profesionales que posteriormente han alcanzado importantes reconocimientos, sumando entre ellos más de 70 estrellas Michelin.</w:t>
      </w:r>
    </w:p>
    <w:p>
      <w:pPr>
        <w:pStyle w:val="NormalWeb"/>
        <w:shd w:fill="FFFFFF" w:val="clear"/>
        <w:spacing w:before="240" w:after="0"/>
        <w:jc w:val="both"/>
        <w:rPr>
          <w:rFonts w:ascii="Calibri" w:hAnsi="Calibri" w:cs="Calibri"/>
          <w:bCs/>
          <w:iCs/>
        </w:rPr>
      </w:pPr>
      <w:r>
        <w:rPr>
          <w:rFonts w:cs="Calibri" w:ascii="Calibri" w:hAnsi="Calibri"/>
          <w:bCs/>
          <w:iCs/>
        </w:rPr>
        <w:t>Esta colaboración se enmarca en la nueva estrategia de Campofrío Smart Solutions en hostelería, que busca reforzar su cercanía con la cocina y con los chefs y profesionales que forman parte del sector. Una línea de trabajo orientada a estar más cerca de la realidad de las cocinas profesionales y de los retos que afrontan los negocios de restauración.</w:t>
      </w:r>
    </w:p>
    <w:p>
      <w:pPr>
        <w:pStyle w:val="NormalWeb"/>
        <w:shd w:fill="FFFFFF" w:val="clear"/>
        <w:spacing w:before="240" w:after="0"/>
        <w:jc w:val="both"/>
        <w:rPr>
          <w:rFonts w:ascii="Calibri" w:hAnsi="Calibri" w:cs="Calibri"/>
          <w:bCs/>
          <w:iCs/>
        </w:rPr>
      </w:pPr>
      <w:r>
        <w:rPr>
          <w:rFonts w:cs="Calibri" w:ascii="Calibri" w:hAnsi="Calibri"/>
          <w:bCs/>
          <w:iCs/>
        </w:rPr>
        <w:t xml:space="preserve">En este sentido, las actividades programadas para la edición 2026-28 aportan un marco ideal para generar espacios de intercambio, con la organización de ponencias de las que formará parte Alberto Salameh, chef ejecutivo de la división de hostelería de Campofrío, que también participará en un </w:t>
      </w:r>
      <w:r>
        <w:rPr>
          <w:rFonts w:cs="Calibri" w:ascii="Calibri" w:hAnsi="Calibri"/>
          <w:bCs/>
          <w:i/>
          <w:iCs/>
        </w:rPr>
        <w:t>showcooking</w:t>
      </w:r>
      <w:r>
        <w:rPr>
          <w:rFonts w:cs="Calibri" w:ascii="Calibri" w:hAnsi="Calibri"/>
          <w:bCs/>
          <w:iCs/>
        </w:rPr>
        <w:t xml:space="preserve"> que tendrá lugar durante la gran final, en el acto de entrega de premios y en diferentes encuentros con concursantes y miembros del jurado.</w:t>
      </w:r>
      <w:r>
        <w:rPr>
          <w:rFonts w:cs="Calibri" w:ascii="Calibri" w:hAnsi="Calibri"/>
          <w:bCs/>
          <w:i/>
          <w:iCs/>
        </w:rPr>
        <w:t xml:space="preserve"> </w:t>
      </w:r>
    </w:p>
    <w:p>
      <w:pPr>
        <w:pStyle w:val="NormalWeb"/>
        <w:shd w:fill="FFFFFF" w:val="clear"/>
        <w:spacing w:before="240" w:after="0"/>
        <w:jc w:val="both"/>
        <w:rPr>
          <w:rFonts w:ascii="Calibri" w:hAnsi="Calibri" w:cs="Calibri"/>
          <w:bCs/>
          <w:iCs/>
        </w:rPr>
      </w:pPr>
      <w:r>
        <w:rPr>
          <w:rFonts w:cs="Calibri" w:ascii="Calibri" w:hAnsi="Calibri"/>
          <w:bCs/>
          <w:i/>
          <w:iCs/>
        </w:rPr>
        <w:t>“</w:t>
      </w:r>
      <w:r>
        <w:rPr>
          <w:rFonts w:cs="Calibri" w:ascii="Calibri" w:hAnsi="Calibri"/>
          <w:bCs/>
          <w:i/>
          <w:iCs/>
        </w:rPr>
        <w:t>Participar en los concursos Cocinero y Camarero del Año nos permite poner en valor el trabajo, la creatividad y la dedicación que hay detrás de cada plato. Es también una oportunidad para compartir el protagonismo con quienes hacen de la cocina su profesión y reconocer el talento que existe en nuestro sector</w:t>
      </w:r>
      <w:r>
        <w:rPr>
          <w:rFonts w:cs="Calibri" w:ascii="Calibri" w:hAnsi="Calibri"/>
          <w:bCs/>
          <w:iCs/>
        </w:rPr>
        <w:t>”, explica Alberto Salameh.</w:t>
      </w:r>
    </w:p>
    <w:p>
      <w:pPr>
        <w:pStyle w:val="NormalWeb"/>
        <w:shd w:fill="FFFFFF" w:val="clear"/>
        <w:spacing w:before="240" w:after="0"/>
        <w:jc w:val="both"/>
        <w:rPr>
          <w:rFonts w:ascii="Calibri" w:hAnsi="Calibri" w:cs="Calibri"/>
          <w:b/>
          <w:iCs/>
        </w:rPr>
      </w:pPr>
      <w:r>
        <w:rPr>
          <w:rFonts w:cs="Calibri" w:ascii="Calibri" w:hAnsi="Calibri"/>
          <w:b/>
          <w:iCs/>
        </w:rPr>
        <w:t>Dos semifinales y una gran final</w:t>
      </w:r>
    </w:p>
    <w:p>
      <w:pPr>
        <w:pStyle w:val="NormalWeb"/>
        <w:shd w:fill="FFFFFF" w:val="clear"/>
        <w:spacing w:before="240" w:after="0"/>
        <w:jc w:val="both"/>
        <w:rPr>
          <w:rFonts w:ascii="Calibri" w:hAnsi="Calibri" w:cs="Calibri"/>
          <w:bCs/>
          <w:iCs/>
        </w:rPr>
      </w:pPr>
      <w:r>
        <w:rPr>
          <w:rFonts w:cs="Calibri" w:ascii="Calibri" w:hAnsi="Calibri"/>
          <w:bCs/>
          <w:iCs/>
        </w:rPr>
        <w:t>Esta nueva edición, que vuelve a contar con un jurado de chefs presidido por Martín Berasategui, celebrará dos semifinales que tendrán lugar en noviembre de 2026 y marzo de 2027, y una gran final en Barcelona, que se desarrollará en el marco de Alimentaria &amp; Hostelco 2028.</w:t>
      </w:r>
    </w:p>
    <w:p>
      <w:pPr>
        <w:pStyle w:val="Normal"/>
        <w:jc w:val="both"/>
        <w:rPr>
          <w:rFonts w:eastAsia="Times New Roman" w:cs="Calibri"/>
          <w:bCs/>
          <w:iCs/>
          <w:sz w:val="24"/>
          <w:szCs w:val="24"/>
          <w:lang w:eastAsia="es-ES"/>
        </w:rPr>
      </w:pPr>
      <w:r>
        <w:rPr>
          <w:rFonts w:eastAsia="Times New Roman" w:cs="Calibri"/>
          <w:bCs/>
          <w:iCs/>
          <w:sz w:val="24"/>
          <w:szCs w:val="24"/>
          <w:lang w:eastAsia="es-ES"/>
        </w:rPr>
        <w:t>“</w:t>
      </w:r>
      <w:r>
        <w:rPr>
          <w:rFonts w:eastAsia="Times New Roman" w:cs="Calibri"/>
          <w:bCs/>
          <w:i/>
          <w:sz w:val="24"/>
          <w:szCs w:val="24"/>
          <w:lang w:eastAsia="es-ES"/>
        </w:rPr>
        <w:t>Esta colaboración forma parte de la nueva etapa que estamos impulsando en Hostelería, con el objetivo de seguir evolucionando nuestra propuesta junto a los profesionales del sector. Queremos que Campofrío Smart Solutions sea un aliado para los negocios de restauración, ayudándoles a enriquecer su oferta gastronómica, generar experiencias diferenciales y responder a la creciente demanda de alta calidad por parte de los consumidores</w:t>
      </w:r>
      <w:r>
        <w:rPr>
          <w:rFonts w:eastAsia="Times New Roman" w:cs="Calibri"/>
          <w:bCs/>
          <w:iCs/>
          <w:sz w:val="24"/>
          <w:szCs w:val="24"/>
          <w:lang w:eastAsia="es-ES"/>
        </w:rPr>
        <w:t>”, señala Alberto Ferreira, director de Hostelería de Campofrío Smart Solutions.</w:t>
      </w:r>
    </w:p>
    <w:p>
      <w:pPr>
        <w:pStyle w:val="Normal"/>
        <w:jc w:val="both"/>
        <w:rPr>
          <w:rFonts w:eastAsia="Times New Roman" w:cs="Calibri"/>
          <w:bCs/>
          <w:iCs/>
          <w:sz w:val="24"/>
          <w:szCs w:val="24"/>
          <w:lang w:eastAsia="es-ES"/>
        </w:rPr>
      </w:pPr>
      <w:r>
        <w:rPr>
          <w:rFonts w:eastAsia="Times New Roman" w:cs="Calibri"/>
          <w:bCs/>
          <w:iCs/>
          <w:sz w:val="24"/>
          <w:szCs w:val="24"/>
          <w:lang w:eastAsia="es-ES"/>
        </w:rPr>
        <w:t>---</w:t>
      </w:r>
    </w:p>
    <w:p>
      <w:pPr>
        <w:pStyle w:val="Normal"/>
        <w:jc w:val="both"/>
        <w:rPr>
          <w:rFonts w:eastAsia="Times New Roman" w:cs="Calibri"/>
          <w:b/>
          <w:iCs/>
          <w:sz w:val="24"/>
          <w:szCs w:val="24"/>
          <w:lang w:eastAsia="es-ES"/>
        </w:rPr>
      </w:pPr>
      <w:r>
        <w:rPr>
          <w:rFonts w:eastAsia="Times New Roman" w:cs="Calibri"/>
          <w:b/>
          <w:iCs/>
          <w:sz w:val="24"/>
          <w:szCs w:val="24"/>
          <w:lang w:eastAsia="es-ES"/>
        </w:rPr>
        <w:t>Acerca de Sigma</w:t>
      </w:r>
    </w:p>
    <w:p>
      <w:pPr>
        <w:pStyle w:val="Normal"/>
        <w:jc w:val="both"/>
        <w:rPr>
          <w:rFonts w:ascii="Aptos;Segoe UI" w:hAnsi="Aptos;Segoe UI" w:cs="Aptos;Segoe UI"/>
          <w:i/>
          <w:i/>
          <w:sz w:val="18"/>
          <w:szCs w:val="18"/>
        </w:rPr>
      </w:pPr>
      <w:r>
        <w:rPr>
          <w:rFonts w:cs="Aptos;Segoe UI" w:ascii="Aptos;Segoe UI" w:hAnsi="Aptos;Segoe UI"/>
          <w:i/>
          <w:sz w:val="18"/>
          <w:szCs w:val="18"/>
        </w:rPr>
        <w:t>Sigma es una compañía global líder en la industria alimentaria que produce, comercializa y distribuye alimentos mediante marcas de calidad, que incluyen carnes, quesos, yogures y otros alimentos refrigerados y congelados envasados. Sigma posee un amplio porfolio de marcas líderes y cuenta con 64 plantas de producción que operan en 17 países en cuatro regiones clave: Europa, México, Estados Unidos y América Latina.</w:t>
      </w:r>
    </w:p>
    <w:p>
      <w:pPr>
        <w:pStyle w:val="Normal"/>
        <w:jc w:val="both"/>
        <w:rPr>
          <w:rFonts w:ascii="Aptos;Segoe UI" w:hAnsi="Aptos;Segoe UI" w:cs="Aptos;Segoe UI"/>
          <w:b/>
          <w:i/>
          <w:i/>
          <w:color w:val="1F1A1A"/>
          <w:spacing w:val="15"/>
          <w:sz w:val="18"/>
          <w:szCs w:val="18"/>
          <w:shd w:fill="FFFFFF" w:val="clear"/>
        </w:rPr>
      </w:pPr>
      <w:r>
        <w:rPr>
          <w:rFonts w:cs="Aptos;Segoe UI" w:ascii="Aptos;Segoe UI" w:hAnsi="Aptos;Segoe UI"/>
          <w:i/>
          <w:sz w:val="18"/>
          <w:szCs w:val="18"/>
        </w:rPr>
        <w:t>En Europa, Sigma produce y comercializa sus productos bajo el nombre de marcas reconocidas como Campofrío, Navidul, Revilla, Aoste, Cochonou, Justin Bridou, Marcassou, Nobre, Stegeman, Caroli, Better Balance y Snack’In For You, entre otras. Sigma fábrica y vende sus productos en siete países europeos y exporta a más de 60 países de todo el mundo.</w:t>
      </w:r>
    </w:p>
    <w:p>
      <w:pPr>
        <w:pStyle w:val="Normal"/>
        <w:jc w:val="both"/>
        <w:rPr>
          <w:rStyle w:val="cf01"/>
          <w:rFonts w:ascii="Arial" w:hAnsi="Arial" w:cs="Arial"/>
          <w:b/>
          <w:bCs/>
          <w:i/>
          <w:i/>
          <w:iCs/>
          <w:sz w:val="20"/>
          <w:szCs w:val="20"/>
        </w:rPr>
      </w:pPr>
      <w:r>
        <w:rPr>
          <w:rFonts w:cs="Arial" w:ascii="Aptos;Segoe UI" w:hAnsi="Aptos;Segoe UI"/>
          <w:b/>
          <w:i/>
          <w:color w:val="1F1A1A"/>
          <w:spacing w:val="15"/>
          <w:sz w:val="18"/>
          <w:szCs w:val="18"/>
          <w:shd w:fill="FFFFFF" w:val="clear"/>
        </w:rPr>
      </w:r>
    </w:p>
    <w:p>
      <w:pPr>
        <w:pStyle w:val="Normal"/>
        <w:spacing w:before="0" w:after="0"/>
        <w:rPr>
          <w:rStyle w:val="cf01"/>
          <w:rFonts w:ascii="Arial" w:hAnsi="Arial" w:cs="Arial"/>
          <w:b/>
          <w:bCs/>
          <w:i/>
          <w:i/>
          <w:iCs/>
          <w:sz w:val="20"/>
          <w:szCs w:val="20"/>
        </w:rPr>
      </w:pPr>
      <w:r>
        <w:rPr/>
      </w:r>
    </w:p>
    <w:p>
      <w:pPr>
        <w:pStyle w:val="Normal"/>
        <w:spacing w:before="0" w:after="0"/>
        <w:rPr>
          <w:rFonts w:ascii="Aptos;Segoe UI" w:hAnsi="Aptos;Segoe UI" w:cs="Aptos;Segoe UI"/>
          <w:b/>
          <w:i/>
          <w:i/>
          <w:sz w:val="18"/>
          <w:szCs w:val="18"/>
        </w:rPr>
      </w:pPr>
      <w:r>
        <w:rPr>
          <w:rFonts w:cs="Aptos;Segoe UI" w:ascii="Aptos;Segoe UI" w:hAnsi="Aptos;Segoe UI"/>
          <w:b/>
          <w:i/>
          <w:sz w:val="18"/>
          <w:szCs w:val="18"/>
        </w:rPr>
        <w:t>Para más información</w:t>
      </w:r>
    </w:p>
    <w:p>
      <w:pPr>
        <w:pStyle w:val="Normal"/>
        <w:spacing w:before="0" w:after="0"/>
        <w:rPr>
          <w:rFonts w:ascii="Aptos;Segoe UI" w:hAnsi="Aptos;Segoe UI" w:cs="Aptos;Segoe UI"/>
          <w:sz w:val="18"/>
          <w:szCs w:val="18"/>
        </w:rPr>
      </w:pPr>
      <w:r>
        <w:rPr>
          <w:rFonts w:cs="Aptos;Segoe UI" w:ascii="Aptos;Segoe UI" w:hAnsi="Aptos;Segoe UI"/>
          <w:sz w:val="18"/>
          <w:szCs w:val="18"/>
        </w:rPr>
        <w:t>Raul Torres / Paloma Aguilera</w:t>
      </w:r>
    </w:p>
    <w:p>
      <w:pPr>
        <w:pStyle w:val="Normal"/>
        <w:spacing w:before="0" w:after="0"/>
        <w:rPr>
          <w:rFonts w:ascii="Aptos;Segoe UI" w:hAnsi="Aptos;Segoe UI" w:cs="Aptos;Segoe UI"/>
          <w:sz w:val="18"/>
          <w:szCs w:val="18"/>
        </w:rPr>
      </w:pPr>
      <w:hyperlink r:id="rId3">
        <w:r>
          <w:rPr>
            <w:rStyle w:val="Hyperlink"/>
            <w:rFonts w:cs="Aptos;Segoe UI" w:ascii="Aptos;Segoe UI" w:hAnsi="Aptos;Segoe UI"/>
            <w:sz w:val="18"/>
            <w:szCs w:val="18"/>
          </w:rPr>
          <w:t>rta@lasker.com</w:t>
        </w:r>
      </w:hyperlink>
      <w:r>
        <w:rPr>
          <w:rFonts w:cs="Aptos;Segoe UI" w:ascii="Aptos;Segoe UI" w:hAnsi="Aptos;Segoe UI"/>
          <w:sz w:val="18"/>
          <w:szCs w:val="18"/>
        </w:rPr>
        <w:t xml:space="preserve">  / </w:t>
      </w:r>
      <w:hyperlink r:id="rId4">
        <w:r>
          <w:rPr>
            <w:rStyle w:val="Hyperlink"/>
            <w:rFonts w:cs="Aptos;Segoe UI" w:ascii="Aptos;Segoe UI" w:hAnsi="Aptos;Segoe UI"/>
            <w:sz w:val="18"/>
            <w:szCs w:val="18"/>
          </w:rPr>
          <w:t>pafm@lasker.es</w:t>
        </w:r>
      </w:hyperlink>
    </w:p>
    <w:p>
      <w:pPr>
        <w:pStyle w:val="Normal"/>
        <w:spacing w:before="0" w:after="0"/>
        <w:rPr>
          <w:rFonts w:ascii="Aptos;Segoe UI" w:hAnsi="Aptos;Segoe UI" w:cs="Aptos;Segoe UI"/>
          <w:sz w:val="18"/>
          <w:szCs w:val="18"/>
        </w:rPr>
      </w:pPr>
      <w:r>
        <w:rPr>
          <w:rFonts w:cs="Aptos;Segoe UI" w:ascii="Aptos;Segoe UI" w:hAnsi="Aptos;Segoe UI"/>
          <w:sz w:val="18"/>
          <w:szCs w:val="18"/>
        </w:rPr>
        <w:t>639747732 / 659 07 22 61</w:t>
      </w:r>
    </w:p>
    <w:sectPr>
      <w:headerReference w:type="default" r:id="rId5"/>
      <w:type w:val="nextPage"/>
      <w:pgSz w:w="11906" w:h="16838"/>
      <w:pgMar w:left="1701" w:right="1701" w:gutter="0" w:header="708" w:top="993" w:footer="0"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86"/>
    <w:family w:val="swiss"/>
    <w:pitch w:val="default"/>
  </w:font>
  <w:font w:name="Times New Roman">
    <w:charset w:val="00" w:characterSet="windows-1252"/>
    <w:family w:val="roman"/>
    <w:pitch w:val="default"/>
  </w:font>
  <w:font w:name="Aptos Display">
    <w:altName w:val="Segoe UI"/>
    <w:charset w:val="00" w:characterSet="windows-1252"/>
    <w:family w:val="swiss"/>
    <w:pitch w:val="default"/>
  </w:font>
  <w:font w:name="Tahoma">
    <w:charset w:val="00" w:characterSet="windows-1252"/>
    <w:family w:val="swiss"/>
    <w:pitch w:val="default"/>
  </w:font>
  <w:font w:name="Segoe UI">
    <w:charset w:val="00" w:characterSet="windows-1252"/>
    <w:family w:val="swiss"/>
    <w:pitch w:val="default"/>
  </w:font>
  <w:font w:name="Liberation Sans">
    <w:altName w:val="Arial"/>
    <w:charset w:val="01" w:characterSet="utf-8"/>
    <w:family w:val="swiss"/>
    <w:pitch w:val="variable"/>
  </w:font>
  <w:font w:name="Open Sans">
    <w:altName w:val="Times New Roman"/>
    <w:charset w:val="00" w:characterSet="windows-1252"/>
    <w:family w:val="swiss"/>
    <w:pitch w:val="default"/>
  </w:font>
  <w:font w:name="Aptos">
    <w:altName w:val="Segoe UI"/>
    <w:charset w:val="00" w:characterSet="windows-1252"/>
    <w:family w:val="swiss"/>
    <w:pitch w:val="default"/>
  </w:font>
  <w:font w:name="Arial">
    <w:charset w:val="00" w:characterSet="windows-1252"/>
    <w:family w:val="swiss"/>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en-US" w:eastAsia="en-US"/>
      </w:rPr>
    </w:pPr>
    <w:r>
      <w:rPr>
        <w:lang w:val="en-US" w:eastAsia="en-US"/>
      </w:rPr>
      <mc:AlternateContent>
        <mc:Choice Requires="wps">
          <w:drawing>
            <wp:anchor behindDoc="1" distT="0" distB="0" distL="114935" distR="114935" simplePos="0" locked="0" layoutInCell="0" allowOverlap="1" relativeHeight="3">
              <wp:simplePos x="0" y="0"/>
              <wp:positionH relativeFrom="margin">
                <wp:posOffset>-725170</wp:posOffset>
              </wp:positionH>
              <wp:positionV relativeFrom="paragraph">
                <wp:posOffset>-161925</wp:posOffset>
              </wp:positionV>
              <wp:extent cx="6896100" cy="10133965"/>
              <wp:effectExtent l="6350" t="6985" r="6350" b="5715"/>
              <wp:wrapNone/>
              <wp:docPr id="2" name="Rectángulo 2"/>
              <a:graphic xmlns:a="http://schemas.openxmlformats.org/drawingml/2006/main">
                <a:graphicData uri="http://schemas.microsoft.com/office/word/2010/wordprocessingShape">
                  <wps:wsp>
                    <wps:cNvSpPr/>
                    <wps:spPr>
                      <a:xfrm>
                        <a:off x="0" y="0"/>
                        <a:ext cx="6896160" cy="10134000"/>
                      </a:xfrm>
                      <a:prstGeom prst="rect">
                        <a:avLst/>
                      </a:prstGeom>
                      <a:noFill/>
                      <a:ln w="12600">
                        <a:solidFill>
                          <a:srgbClr val="aeaaaa"/>
                        </a:solidFill>
                        <a:miter/>
                      </a:ln>
                    </wps:spPr>
                    <wps:style>
                      <a:lnRef idx="0"/>
                      <a:fillRef idx="0"/>
                      <a:effectRef idx="0"/>
                      <a:fontRef idx="minor"/>
                    </wps:style>
                    <wps:bodyPr/>
                  </wps:wsp>
                </a:graphicData>
              </a:graphic>
            </wp:anchor>
          </w:drawing>
        </mc:Choice>
        <mc:Fallback>
          <w:pict>
            <v:rect id="shape_0" ID="Rectángulo 2" stroked="t" o:allowincell="f" style="position:absolute;margin-left:-57.1pt;margin-top:-12.75pt;width:542.95pt;height:797.9pt;mso-wrap-style:none;v-text-anchor:middle;mso-position-horizontal-relative:margin">
              <v:fill o:detectmouseclick="t" on="false"/>
              <v:stroke color="#aeaaaa" weight="12600" joinstyle="miter" endcap="flat"/>
              <w10:wrap type="non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60"/>
  <w:defaultTabStop w:val="708"/>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s-ES" w:eastAsia="en-US" w:bidi="ar-SA"/>
    </w:rPr>
  </w:style>
  <w:style w:type="paragraph" w:styleId="Heading2">
    <w:name w:val="Heading 2"/>
    <w:basedOn w:val="Normal"/>
    <w:next w:val="BodyText"/>
    <w:qFormat/>
    <w:pPr>
      <w:numPr>
        <w:ilvl w:val="1"/>
        <w:numId w:val="1"/>
      </w:numPr>
      <w:spacing w:lineRule="auto" w:line="240" w:before="100" w:after="100"/>
      <w:outlineLvl w:val="1"/>
    </w:pPr>
    <w:rPr>
      <w:rFonts w:ascii="Times New Roman" w:hAnsi="Times New Roman" w:eastAsia="Times New Roman" w:cs="Times New Roman"/>
      <w:b/>
      <w:bCs/>
      <w:sz w:val="36"/>
      <w:szCs w:val="36"/>
      <w:lang w:eastAsia="es-ES"/>
    </w:rPr>
  </w:style>
  <w:style w:type="paragraph" w:styleId="Heading3">
    <w:name w:val="Heading 3"/>
    <w:basedOn w:val="Normal"/>
    <w:next w:val="Normal"/>
    <w:qFormat/>
    <w:pPr>
      <w:keepNext w:val="true"/>
      <w:numPr>
        <w:ilvl w:val="2"/>
        <w:numId w:val="1"/>
      </w:numPr>
      <w:spacing w:before="240" w:after="60"/>
      <w:outlineLvl w:val="2"/>
    </w:pPr>
    <w:rPr>
      <w:rFonts w:ascii="Aptos Display;Segoe UI" w:hAnsi="Aptos Display;Segoe UI" w:eastAsia="Times New Roman" w:cs="Times New Roman"/>
      <w:b/>
      <w:bCs/>
      <w:sz w:val="26"/>
      <w:szCs w:val="26"/>
    </w:rPr>
  </w:style>
  <w:style w:type="character" w:styleId="Fuentedeprrafopredeter">
    <w:name w:val="Fuente de párrafo predeter."/>
    <w:qFormat/>
    <w:rPr/>
  </w:style>
  <w:style w:type="character" w:styleId="Ttulo2Car">
    <w:name w:val="Título 2 Car"/>
    <w:qFormat/>
    <w:rPr>
      <w:rFonts w:ascii="Times New Roman" w:hAnsi="Times New Roman" w:eastAsia="Times New Roman" w:cs="Times New Roman"/>
      <w:b/>
      <w:bCs/>
      <w:sz w:val="36"/>
      <w:szCs w:val="36"/>
    </w:rPr>
  </w:style>
  <w:style w:type="character" w:styleId="Ttulo3Car">
    <w:name w:val="Título 3 Car"/>
    <w:qFormat/>
    <w:rPr>
      <w:rFonts w:ascii="Aptos Display;Segoe UI" w:hAnsi="Aptos Display;Segoe UI" w:eastAsia="Times New Roman" w:cs="Times New Roman"/>
      <w:b/>
      <w:bCs/>
      <w:sz w:val="26"/>
      <w:szCs w:val="26"/>
      <w:lang w:eastAsia="en-US"/>
    </w:rPr>
  </w:style>
  <w:style w:type="character" w:styleId="Refdecomentario">
    <w:name w:val="Ref. de comentario"/>
    <w:qFormat/>
    <w:rPr>
      <w:sz w:val="16"/>
      <w:szCs w:val="16"/>
    </w:rPr>
  </w:style>
  <w:style w:type="character" w:styleId="Hyperlink">
    <w:name w:val="Hyperlink"/>
    <w:rPr>
      <w:color w:val="0000FF"/>
      <w:u w:val="single"/>
    </w:rPr>
  </w:style>
  <w:style w:type="character" w:styleId="FollowedHyperlink">
    <w:name w:val="FollowedHyperlink"/>
    <w:rPr>
      <w:color w:val="954F72"/>
      <w:u w:val="single"/>
    </w:rPr>
  </w:style>
  <w:style w:type="character" w:styleId="TextocomentarioCar">
    <w:name w:val="Texto comentario Car"/>
    <w:qFormat/>
    <w:rPr>
      <w:lang w:eastAsia="en-US"/>
    </w:rPr>
  </w:style>
  <w:style w:type="character" w:styleId="AsuntodelcomentarioCar">
    <w:name w:val="Asunto del comentario Car"/>
    <w:qFormat/>
    <w:rPr>
      <w:b/>
      <w:bCs/>
      <w:lang w:eastAsia="en-US"/>
    </w:rPr>
  </w:style>
  <w:style w:type="character" w:styleId="TextodegloboCar">
    <w:name w:val="Texto de globo Car"/>
    <w:qFormat/>
    <w:rPr>
      <w:rFonts w:ascii="Tahoma" w:hAnsi="Tahoma" w:cs="Tahoma"/>
      <w:sz w:val="16"/>
      <w:szCs w:val="16"/>
    </w:rPr>
  </w:style>
  <w:style w:type="character" w:styleId="EncabezadoCar">
    <w:name w:val="Encabezado Car"/>
    <w:basedOn w:val="Fuentedeprrafopredeter"/>
    <w:qFormat/>
    <w:rPr/>
  </w:style>
  <w:style w:type="character" w:styleId="PiedepginaCar">
    <w:name w:val="Pie de página Car"/>
    <w:basedOn w:val="Fuentedeprrafopredeter"/>
    <w:qFormat/>
    <w:rPr/>
  </w:style>
  <w:style w:type="character" w:styleId="Mencinsinresolver">
    <w:name w:val="Mención sin resolver"/>
    <w:qFormat/>
    <w:rPr>
      <w:color w:val="605E5C"/>
      <w:shd w:fill="E1DFDD" w:val="clear"/>
    </w:rPr>
  </w:style>
  <w:style w:type="character" w:styleId="normaltextrun">
    <w:name w:val="normaltextrun"/>
    <w:basedOn w:val="Fuentedeprrafopredeter"/>
    <w:qFormat/>
    <w:rPr/>
  </w:style>
  <w:style w:type="character" w:styleId="eop">
    <w:name w:val="eop"/>
    <w:basedOn w:val="Fuentedeprrafopredeter"/>
    <w:qFormat/>
    <w:rPr/>
  </w:style>
  <w:style w:type="character" w:styleId="cf01">
    <w:name w:val="cf01"/>
    <w:qFormat/>
    <w:rPr>
      <w:rFonts w:ascii="Segoe UI" w:hAnsi="Segoe UI" w:cs="Segoe UI"/>
      <w:sz w:val="18"/>
      <w:szCs w:val="18"/>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extocomentario">
    <w:name w:val="Texto comentario"/>
    <w:basedOn w:val="Normal"/>
    <w:qFormat/>
    <w:pPr/>
    <w:rPr>
      <w:sz w:val="20"/>
      <w:szCs w:val="20"/>
    </w:rPr>
  </w:style>
  <w:style w:type="paragraph" w:styleId="Asuntodelcomentario">
    <w:name w:val="Asunto del comentario"/>
    <w:basedOn w:val="Textocomentario"/>
    <w:next w:val="Textocomentario"/>
    <w:qFormat/>
    <w:pPr/>
    <w:rPr>
      <w:b/>
      <w:bCs/>
    </w:rPr>
  </w:style>
  <w:style w:type="paragraph" w:styleId="Textodeglobo">
    <w:name w:val="Texto de globo"/>
    <w:basedOn w:val="Normal"/>
    <w:qFormat/>
    <w:pPr>
      <w:spacing w:lineRule="auto" w:line="240" w:before="0" w:after="0"/>
    </w:pPr>
    <w:rPr>
      <w:rFonts w:ascii="Tahoma" w:hAnsi="Tahoma" w:cs="Tahoma"/>
      <w:sz w:val="16"/>
      <w:szCs w:val="16"/>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252" w:leader="none"/>
        <w:tab w:val="right" w:pos="8504" w:leader="none"/>
      </w:tabs>
      <w:spacing w:lineRule="auto" w:line="240" w:before="0" w:after="0"/>
    </w:pPr>
    <w:rPr/>
  </w:style>
  <w:style w:type="paragraph" w:styleId="NormalWeb">
    <w:name w:val="Normal (Web)"/>
    <w:basedOn w:val="Normal"/>
    <w:qFormat/>
    <w:pPr>
      <w:spacing w:lineRule="auto" w:line="240" w:before="100" w:after="100"/>
    </w:pPr>
    <w:rPr>
      <w:rFonts w:ascii="Times New Roman" w:hAnsi="Times New Roman" w:eastAsia="Times New Roman" w:cs="Times New Roman"/>
      <w:sz w:val="24"/>
      <w:szCs w:val="24"/>
      <w:lang w:eastAsia="es-ES"/>
    </w:rPr>
  </w:style>
  <w:style w:type="paragraph" w:styleId="Footer">
    <w:name w:val="Footer"/>
    <w:basedOn w:val="Normal"/>
    <w:pPr>
      <w:tabs>
        <w:tab w:val="clear" w:pos="708"/>
        <w:tab w:val="center" w:pos="4252" w:leader="none"/>
        <w:tab w:val="right" w:pos="8504" w:leader="none"/>
      </w:tabs>
      <w:spacing w:lineRule="auto" w:line="240" w:before="0" w:after="0"/>
    </w:pPr>
    <w:rPr/>
  </w:style>
  <w:style w:type="paragraph" w:styleId="Prrafodelista">
    <w:name w:val="Párrafo de lista"/>
    <w:basedOn w:val="Normal"/>
    <w:qFormat/>
    <w:pPr>
      <w:spacing w:before="0" w:after="200"/>
      <w:ind w:hanging="0" w:start="720" w:end="0"/>
      <w:contextualSpacing/>
    </w:pPr>
    <w:rPr/>
  </w:style>
  <w:style w:type="paragraph" w:styleId="xmsonormal">
    <w:name w:val="x_msonormal"/>
    <w:basedOn w:val="Normal"/>
    <w:qFormat/>
    <w:pPr>
      <w:spacing w:lineRule="auto" w:line="240" w:before="100" w:after="100"/>
    </w:pPr>
    <w:rPr>
      <w:rFonts w:ascii="Times New Roman" w:hAnsi="Times New Roman" w:eastAsia="Calibri" w:cs="Times New Roman"/>
      <w:sz w:val="24"/>
      <w:szCs w:val="24"/>
      <w:lang w:eastAsia="es-ES"/>
    </w:rPr>
  </w:style>
  <w:style w:type="paragraph" w:styleId="Revisin">
    <w:name w:val="Revisión"/>
    <w:qFormat/>
    <w:pPr>
      <w:widowControl/>
      <w:bidi w:val="0"/>
    </w:pPr>
    <w:rPr>
      <w:rFonts w:ascii="Calibri" w:hAnsi="Calibri" w:eastAsia="Calibri" w:cs="Times New Roman"/>
      <w:color w:val="auto"/>
      <w:sz w:val="22"/>
      <w:szCs w:val="22"/>
      <w:lang w:val="es-ES" w:eastAsia="en-US" w:bidi="ar-SA"/>
    </w:rPr>
  </w:style>
  <w:style w:type="paragraph" w:styleId="paragraph">
    <w:name w:val="paragraph"/>
    <w:basedOn w:val="Normal"/>
    <w:qFormat/>
    <w:pPr>
      <w:spacing w:lineRule="auto" w:line="240" w:before="100" w:after="100"/>
    </w:pPr>
    <w:rPr>
      <w:rFonts w:ascii="Times New Roman" w:hAnsi="Times New Roman" w:eastAsia="Times New Roman" w:cs="Times New Roman"/>
      <w:sz w:val="24"/>
      <w:szCs w:val="24"/>
      <w:lang w:eastAsia="es-ES"/>
    </w:rPr>
  </w:style>
  <w:style w:type="paragraph" w:styleId="Textodeprrafo">
    <w:name w:val="Texto de párrafo"/>
    <w:qFormat/>
    <w:pPr>
      <w:widowControl/>
      <w:bidi w:val="0"/>
      <w:spacing w:lineRule="auto" w:line="360"/>
    </w:pPr>
    <w:rPr>
      <w:rFonts w:ascii="Open Sans;Times New Roman" w:hAnsi="Open Sans;Times New Roman" w:eastAsia="Arial Unicode MS;Arial" w:cs="Arial Unicode MS;Arial"/>
      <w:color w:val="333333"/>
      <w:sz w:val="20"/>
      <w:szCs w:val="20"/>
      <w:lang w:val="es-ES_tradnl" w:eastAsia="es-ES_tradnl" w:bidi="ar-SA"/>
    </w:rPr>
  </w:style>
  <w:style w:type="paragraph" w:styleId="pf0">
    <w:name w:val="pf0"/>
    <w:basedOn w:val="Normal"/>
    <w:qFormat/>
    <w:pPr>
      <w:spacing w:lineRule="auto" w:line="240" w:before="100" w:after="100"/>
    </w:pPr>
    <w:rPr>
      <w:rFonts w:ascii="Times New Roman" w:hAnsi="Times New Roman" w:eastAsia="Times New Roman" w:cs="Times New Roman"/>
      <w:sz w:val="24"/>
      <w:szCs w:val="24"/>
      <w:lang w:eastAsia="es-E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ta@lasker.com" TargetMode="External"/><Relationship Id="rId4" Type="http://schemas.openxmlformats.org/officeDocument/2006/relationships/hyperlink" Target="mailto:pafm@lasker.es" TargetMode="External"/><Relationship Id="rId5" Type="http://schemas.openxmlformats.org/officeDocument/2006/relationships/header" Target="head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2026-10-05T08:05:00Z</dcterms:created>
  <dc:creator>Z8963523</dc:creator>
  <dc:description/>
  <dc:language>en-US</dc:language>
  <cp:lastModifiedBy>rta</cp:lastModifiedBy>
  <cp:lastPrinted>2018-07-10T12:54:00Z</cp:lastPrinted>
  <dcterms:modified xsi:type="dcterms:W3CDTF">2026-10-07T09:03:50Z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034D798A7C3645CD89262D92C0FC8A4D_12</vt:lpwstr>
  </property>
  <property fmtid="{D5CDD505-2E9C-101B-9397-08002B2CF9AE}" pid="3" name="KSOProductBuildVer">
    <vt:lpwstr>3082-12.1.0.28485</vt:lpwstr>
  </property>
  <property fmtid="{D5CDD505-2E9C-101B-9397-08002B2CF9AE}" pid="4" name="KSOTemplateDocerSaveRecord">
    <vt:lpwstr>eyJoZGlkIjoiOTk1MjQ1MWNlMTI3MzYyNGU4MTczN2QxNDI4NTg4ZDgifQ==</vt:lpwstr>
  </property>
  <property fmtid="{D5CDD505-2E9C-101B-9397-08002B2CF9AE}" pid="5" name="MSIP_Label_68e17602-7682-4c07-aecd-515d5835543f_ActionId">
    <vt:lpwstr>3c55dd19-f953-48bd-a008-dbfec281b401</vt:lpwstr>
  </property>
  <property fmtid="{D5CDD505-2E9C-101B-9397-08002B2CF9AE}" pid="6" name="MSIP_Label_68e17602-7682-4c07-aecd-515d5835543f_ContentBits">
    <vt:lpwstr>2</vt:lpwstr>
  </property>
  <property fmtid="{D5CDD505-2E9C-101B-9397-08002B2CF9AE}" pid="7" name="MSIP_Label_68e17602-7682-4c07-aecd-515d5835543f_Enabled">
    <vt:lpwstr>true</vt:lpwstr>
  </property>
  <property fmtid="{D5CDD505-2E9C-101B-9397-08002B2CF9AE}" pid="8" name="MSIP_Label_68e17602-7682-4c07-aecd-515d5835543f_Method">
    <vt:lpwstr>Standard</vt:lpwstr>
  </property>
  <property fmtid="{D5CDD505-2E9C-101B-9397-08002B2CF9AE}" pid="9" name="MSIP_Label_68e17602-7682-4c07-aecd-515d5835543f_Name">
    <vt:lpwstr>Confidential</vt:lpwstr>
  </property>
  <property fmtid="{D5CDD505-2E9C-101B-9397-08002B2CF9AE}" pid="10" name="MSIP_Label_68e17602-7682-4c07-aecd-515d5835543f_SetDate">
    <vt:lpwstr>2024-02-19T10:01:09Z</vt:lpwstr>
  </property>
  <property fmtid="{D5CDD505-2E9C-101B-9397-08002B2CF9AE}" pid="11" name="MSIP_Label_68e17602-7682-4c07-aecd-515d5835543f_SiteId">
    <vt:lpwstr>3602f44b-1aa9-4a4a-8a8a-10edcd570bd1</vt:lpwstr>
  </property>
</Properties>
</file>